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Экзаменационные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вопросы к дисциплине «Введение в специальность»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такие переводчики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Э</w:t>
      </w:r>
      <w:r>
        <w:rPr>
          <w:rFonts w:ascii="Times New Roman" w:hAnsi="Times New Roman" w:hint="default"/>
          <w:sz w:val="28"/>
          <w:szCs w:val="28"/>
          <w:rtl w:val="0"/>
        </w:rPr>
        <w:t>тических норм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ереводчиков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Рабочий дресс код переводчика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</w:t>
      </w:r>
      <w:r>
        <w:rPr>
          <w:rFonts w:ascii="Times New Roman" w:hAnsi="Times New Roman" w:hint="default"/>
          <w:sz w:val="28"/>
          <w:szCs w:val="28"/>
          <w:rtl w:val="0"/>
        </w:rPr>
        <w:t>онкурентноспособность в деятельности переводчика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Методы и способы проведения переговоров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Средства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перевода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Правила переводчиков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Общение с людьми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Первые впечатления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Текст 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подтекст в переводоведение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Скоро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пись</w:t>
      </w:r>
      <w:r>
        <w:rPr>
          <w:rFonts w:ascii="Times New Roman" w:hAnsi="Times New Roman"/>
          <w:sz w:val="28"/>
          <w:szCs w:val="28"/>
          <w:rtl w:val="0"/>
          <w:lang w:val="en-US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ведение записей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Укрепление престижа профессии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 переводчика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Установки в подготовке к устному переводу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15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Память переводчика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16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Декларативная и процедурная память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17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Интеллектуальная и эмоциональная память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18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Контекст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релевантность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многократное кодирование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19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Стили усвоения переводчика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 опытом и привычкой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Инстинкт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опыт и привычка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22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Процесс перевода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23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Среда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Практики и теоретики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25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Независимость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6.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Взаимоотношения или содержание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7.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Каналы восприятия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8.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Зрительное восприятие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</w:rPr>
        <w:t>9.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Слуховое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восприятие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</w:rPr>
        <w:t>0.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Кинестетическое восприятие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</w:rPr>
        <w:t>1.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современных информационных технологии в переводе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</w:rPr>
        <w:t>2.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Союзы переводчиков Казахстане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</w:rPr>
        <w:t>3.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Союзы переводчиков англо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говорящих стран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34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Советы для переводчиков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8"/>
          <w:szCs w:val="28"/>
          <w:rtl w:val="0"/>
          <w:lang w:val="ru-RU"/>
        </w:rPr>
        <w:t>35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Эрудиция переводчика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